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B74C40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74C40" w:rsidRDefault="00340C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B74C40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  <w:tr w:rsidR="00B74C40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B74C4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B74C40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01.01.2023</w:t>
            </w:r>
          </w:p>
        </w:tc>
      </w:tr>
      <w:tr w:rsidR="00B74C40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</w:t>
            </w:r>
          </w:p>
        </w:tc>
      </w:tr>
      <w:tr w:rsidR="00B74C4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</w:tr>
      <w:tr w:rsidR="00B74C4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06470126</w:t>
            </w:r>
          </w:p>
        </w:tc>
      </w:tr>
      <w:tr w:rsidR="00B74C4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</w:tr>
      <w:tr w:rsidR="00B74C4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0"/>
              </w:rPr>
            </w:pPr>
          </w:p>
        </w:tc>
      </w:tr>
      <w:tr w:rsidR="00B74C40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ЦИФРОВОГО РАЗВИТИЯ, ТРАНСПОРТА И СВЯЗИ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B74C40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  <w:tr w:rsidR="00B74C40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74C40" w:rsidRDefault="00340C08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B74C40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  <w:tr w:rsidR="00B74C4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B74C4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  <w:tr w:rsidR="00B74C40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</w:tbl>
    <w:p w:rsidR="00B74C40" w:rsidRDefault="00340C08">
      <w:pPr>
        <w:numPr>
          <w:ilvl w:val="0"/>
          <w:numId w:val="1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Организационная структура</w:t>
      </w:r>
    </w:p>
    <w:p w:rsidR="00B74C40" w:rsidRDefault="00340C08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цифрового развития, транспорта и связи Пензенской области (далее – Министерство) является исполнительным органом государственной власти Пензенской области. Вышестоящая организация – Правительство Пензенской области. Министерство создано на осн</w:t>
      </w:r>
      <w:r>
        <w:rPr>
          <w:rFonts w:ascii="Calibri" w:eastAsia="Calibri" w:hAnsi="Calibri" w:cs="Calibri"/>
          <w:color w:val="000000"/>
          <w:sz w:val="28"/>
          <w:szCs w:val="28"/>
        </w:rPr>
        <w:t>овании постановления Правительства Пензенской области от 08.12.2016 г.  № 621-пП «Отдельные вопросы исполнительных органов государственной власти Пензенской области». Поставлено на учет в налоговом органе 31.01.2017 г. Переименовано в Министерство цифровог</w:t>
      </w:r>
      <w:r>
        <w:rPr>
          <w:rFonts w:ascii="Calibri" w:eastAsia="Calibri" w:hAnsi="Calibri" w:cs="Calibri"/>
          <w:color w:val="000000"/>
          <w:sz w:val="28"/>
          <w:szCs w:val="28"/>
        </w:rPr>
        <w:t>о развития, транспорта и связи Пензенской области на основании постановления Правительства Пензенской области от 12.07.2021 г. № 410-пП «Отдельные вопросы исполнительных органов государственной власти Пензенской области». Дата регистрации изменений в налог</w:t>
      </w:r>
      <w:r>
        <w:rPr>
          <w:rFonts w:ascii="Calibri" w:eastAsia="Calibri" w:hAnsi="Calibri" w:cs="Calibri"/>
          <w:color w:val="000000"/>
          <w:sz w:val="28"/>
          <w:szCs w:val="28"/>
        </w:rPr>
        <w:t>овом органе 08.10.2021 г.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Юридический адрес: 440025, г. Пенза ул. Кураева 36А.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Численность Министерства по штатному расписанию - 29 человек, на 01.01.2023 - 29 человек.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Источники финансирования: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 Пензенской области на реализацию государственных </w:t>
      </w:r>
      <w:r>
        <w:rPr>
          <w:rFonts w:ascii="Calibri" w:eastAsia="Calibri" w:hAnsi="Calibri" w:cs="Calibri"/>
          <w:color w:val="000000"/>
          <w:sz w:val="28"/>
          <w:szCs w:val="28"/>
        </w:rPr>
        <w:t>программ Пензенской области, резервный фонд Правительства Пензенской области.</w:t>
      </w:r>
    </w:p>
    <w:p w:rsidR="00B74C40" w:rsidRDefault="00340C08">
      <w:pPr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На основании постановления Правительства Пензенской области от 25.10.2021 г.  № 721-пП «О замене исполнительных органов государственной власти Пензенской области, осуществляющих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функции и полномочия учредителей государственных бюджетных и казенного учреждений Пензенской области Министерство является учредителем ГБУ «Безопасный регион», ГБУ ПО «Аэропорт города Пензы», ГКУ «Организатор перевозок Пензенской области». </w:t>
      </w:r>
      <w:proofErr w:type="gramEnd"/>
    </w:p>
    <w:p w:rsidR="00B74C40" w:rsidRDefault="00340C08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Численность ГКУ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«Организатор перевозок Пензенской области» по штатному расписанию составляет 14 человек, на 01.01.2023 - 10 человек.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Министерство осуществляет функции главного распорядителя бюджетных средств, предусмотренных на содержание Министерства и реализацию функци</w:t>
      </w:r>
      <w:r>
        <w:rPr>
          <w:rFonts w:ascii="Calibri" w:eastAsia="Calibri" w:hAnsi="Calibri" w:cs="Calibri"/>
          <w:color w:val="000000"/>
          <w:sz w:val="28"/>
          <w:szCs w:val="28"/>
        </w:rPr>
        <w:t>й в соответствии с законом Пензенской области о бюджете Пензенской области, а также по утвержденным видам субсидий в рамках государственных программ Пензенской области «Формирование информационного общества в Пензенской области», утвержденной постановление</w:t>
      </w:r>
      <w:r>
        <w:rPr>
          <w:rFonts w:ascii="Calibri" w:eastAsia="Calibri" w:hAnsi="Calibri" w:cs="Calibri"/>
          <w:color w:val="000000"/>
          <w:sz w:val="28"/>
          <w:szCs w:val="28"/>
        </w:rPr>
        <w:t>м Правительства Пензенской области от 05.11.2013 № 815-пП (с последующими изменениями), «Обеспечение общественного порядка и противодействие преступности 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Пензенской области», утвержденной постановлением Правительства Пензенской области от 22.10.2013 № 78</w:t>
      </w:r>
      <w:r>
        <w:rPr>
          <w:rFonts w:ascii="Calibri" w:eastAsia="Calibri" w:hAnsi="Calibri" w:cs="Calibri"/>
          <w:color w:val="000000"/>
          <w:sz w:val="28"/>
          <w:szCs w:val="28"/>
        </w:rPr>
        <w:t>2-пП (с последующими изменениями), «Развитие территорий, социальной и инженерной инфраструктуры, обеспечение транспортных услуг в Пензенской области», утвержденной постановлением Правительства Пензенской области от 26.09.2013 № 724-пП (с последующими измен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ениями). 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осуществляет отраслевое управление деятельностью в области информационных технологий, транспорта и связи.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ведется ГБУ «Управление делами Губернатора и Правительства Пензенской области на основании договора об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оказании услуг по ведению бюджетного учета органов исполнительной власти Пензенской области от 11.10.2021 № 22. На основании постановления Правительства Пензенской области от 11.10.2022 № 865-пП полномочия по ведению бюджетного учета переданы уполномоченн</w:t>
      </w:r>
      <w:r>
        <w:rPr>
          <w:rFonts w:ascii="Calibri" w:eastAsia="Calibri" w:hAnsi="Calibri" w:cs="Calibri"/>
          <w:color w:val="000000"/>
          <w:sz w:val="28"/>
          <w:szCs w:val="28"/>
        </w:rPr>
        <w:t>ой организации ГКУ Пензенской области «Центр бухгалтерского учета».</w:t>
      </w:r>
    </w:p>
    <w:p w:rsidR="00B74C40" w:rsidRDefault="00340C08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B74C40" w:rsidRDefault="00340C08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B74C40" w:rsidRDefault="00340C08">
      <w:pPr>
        <w:numPr>
          <w:ilvl w:val="0"/>
          <w:numId w:val="2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Результаты деятельности</w:t>
      </w:r>
    </w:p>
    <w:p w:rsidR="00B74C40" w:rsidRDefault="00340C08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 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Объем бюджетных назначений по доходам за 2022 год составил 140 071,9 тыс. руб., в том числе:  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доходы от компенсации затрат бюджета – 2,0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тыс. руб., 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административные платежи и сборы – 11 650,0 тыс. руб.,  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        - штрафы, санкции, возмещение ущерба – 1 821,0 тыс. руб.,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безвозмездные поступления – 126 598,9 тыс. руб.    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Объем бюджетных назначений по расхода</w:t>
      </w:r>
      <w:r>
        <w:rPr>
          <w:rFonts w:ascii="Calibri" w:eastAsia="Calibri" w:hAnsi="Calibri" w:cs="Calibri"/>
          <w:color w:val="000000"/>
          <w:sz w:val="28"/>
          <w:szCs w:val="28"/>
        </w:rPr>
        <w:t>м за 2022 год составил 3 546 394,8 тыс. руб., в том числе: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-   на реализацию государственной программы Пензенской области «Формирование информационного общества в Пензенской области» – 89 232,0 тыс. руб., 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-  на реализацию государственной програм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мы Пензенской области «Обеспечение общественного порядка и противодействие преступности в Пензенской области» – 16 462,7 тыс. руб., 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-  на реализацию государственной программы Пензенской области «Развитие территорий, социальной и инженерной инфраструк</w:t>
      </w:r>
      <w:r>
        <w:rPr>
          <w:rFonts w:ascii="Calibri" w:eastAsia="Calibri" w:hAnsi="Calibri" w:cs="Calibri"/>
          <w:color w:val="000000"/>
          <w:sz w:val="28"/>
          <w:szCs w:val="28"/>
        </w:rPr>
        <w:t>туры, обеспечение транспортных услуг в Пензенской области» – 3 340 206,3 тыс. руб.,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-  на мероприятия за счет средств резервного фонда Правительства Пензенской области – 98 830,4 тыс. руб.,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-  на иные непрограммные расходы органов государственной </w:t>
      </w:r>
      <w:r>
        <w:rPr>
          <w:rFonts w:ascii="Calibri" w:eastAsia="Calibri" w:hAnsi="Calibri" w:cs="Calibri"/>
          <w:color w:val="000000"/>
          <w:sz w:val="28"/>
          <w:szCs w:val="28"/>
        </w:rPr>
        <w:t>власти Пензенской области – 1 663,4 тыс. руб.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Наличие на отчетную дату  основных средств – 58 855,7 тыс. руб., остаточная балансовая стоимость – 4 528,9 тыс. руб., нематериальные активы – 24 018,6 тыс. руб., остаточная балансовая стоимость – 7 019,6 тыс. 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уб., права пользования активами – 61 218,9 тыс. руб., основные средства до 3,0 тыс. руб.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1 580,1 тыс. руб., прочие  материальные запасы  – 111,6 тыс. руб.  </w:t>
      </w:r>
      <w:proofErr w:type="gramEnd"/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94% основных средств имеют 100 % амортизацию. Имеется потребность в приобретении офи</w:t>
      </w:r>
      <w:r>
        <w:rPr>
          <w:rFonts w:ascii="Calibri" w:eastAsia="Calibri" w:hAnsi="Calibri" w:cs="Calibri"/>
          <w:color w:val="000000"/>
          <w:sz w:val="28"/>
          <w:szCs w:val="28"/>
        </w:rPr>
        <w:t>сной техники, офисной мебели. Последний раз обновление компьютерной техники было проведено в 2011 году.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Сохранность основных средств обеспечивается в рабочее время сотрудниками Министерства, в нерабочее время ГБУ «Управление делами Губернатора и Правительс</w:t>
      </w:r>
      <w:r>
        <w:rPr>
          <w:rFonts w:ascii="Calibri" w:eastAsia="Calibri" w:hAnsi="Calibri" w:cs="Calibri"/>
          <w:color w:val="000000"/>
          <w:sz w:val="28"/>
          <w:szCs w:val="28"/>
        </w:rPr>
        <w:t>тва Пензенской области». Материальные запасы приобретаются по мере необходимости.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закупок за отчетный период составил 2 549 262,9 тыс. руб., в том числе с применением конкурентных способов 765 176,0 тыс. руб. Экономия от торгов составила 364,5 тыс. 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уб. 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Количественные показатели результатов деятельности Министерства цифрового развития, транспорта и связи Пензенской области по достижению стратегических целей и задач социально-экономического развития Пензенской области за 2022 год  выполнены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 в полном объеме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от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плановых, в том числе: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Показатель 1. Доля граждан, проживающих на территории Пензенской области, зарегистрированных в Федеральной государственной информационной системе "Единая система идентификац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ии и ау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тентификации" – 70,8 %, по плану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70 %.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Расходы на курсы повышения квалификации не проводились.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</w:t>
      </w:r>
    </w:p>
    <w:p w:rsidR="00B74C40" w:rsidRDefault="00340C08">
      <w:pPr>
        <w:numPr>
          <w:ilvl w:val="0"/>
          <w:numId w:val="3"/>
        </w:numPr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отчета об исполнении бюджета</w:t>
      </w:r>
    </w:p>
    <w:p w:rsidR="00B74C40" w:rsidRDefault="00340C08">
      <w:pPr>
        <w:ind w:left="10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Неоднократно вносились изменения в бюджетную роспись в соответствии с Законом Пензенской области «О внесении изменений в Закон Пензенской </w:t>
      </w:r>
      <w:r>
        <w:rPr>
          <w:rFonts w:ascii="Calibri" w:eastAsia="Calibri" w:hAnsi="Calibri" w:cs="Calibri"/>
          <w:color w:val="000000"/>
          <w:sz w:val="28"/>
          <w:szCs w:val="28"/>
        </w:rPr>
        <w:t>области «О бюджете Пензенской области на 2022 год и на плановый период 2023 и 2024 годов» от 11.03.2022 № 3803-ЗПО,  от 29.07.2022 № 3849-ЗПО, от 07.09.2022 № 3874-ЗПО, от 25.11.2022 № 3932-ЗПО, от 16.12.2022 № 3952-ЗПО, как в строну уменьшения ассигновани</w:t>
      </w:r>
      <w:r>
        <w:rPr>
          <w:rFonts w:ascii="Calibri" w:eastAsia="Calibri" w:hAnsi="Calibri" w:cs="Calibri"/>
          <w:color w:val="000000"/>
          <w:sz w:val="28"/>
          <w:szCs w:val="28"/>
        </w:rPr>
        <w:t>й, так и в сторону увеличения объемов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ассигнований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Данные о результатах кассового исполнения бюджета, отклонения между плановыми и фактическими показателями, причины отклонений между суммами исполненных бюджетных назначений и данными уточненной бюджетной р</w:t>
      </w:r>
      <w:r>
        <w:rPr>
          <w:rFonts w:ascii="Calibri" w:eastAsia="Calibri" w:hAnsi="Calibri" w:cs="Calibri"/>
          <w:color w:val="000000"/>
          <w:sz w:val="28"/>
          <w:szCs w:val="28"/>
        </w:rPr>
        <w:t>осписи  отражены в форме № 0503164 «Сведения о кассовом исполнении бюджета». 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225" w:type="dxa"/>
        <w:tblInd w:w="2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4"/>
        <w:gridCol w:w="3682"/>
        <w:gridCol w:w="1645"/>
        <w:gridCol w:w="2124"/>
      </w:tblGrid>
      <w:tr w:rsidR="00B74C40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КБК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% исполнения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Пояснения</w:t>
            </w:r>
          </w:p>
        </w:tc>
      </w:tr>
      <w:tr w:rsidR="00B74C40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819 0408 1620229330 000 000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Расходы на оплату государственных контрактов на осуществление регулярных пассажирских перевозок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по регулируемым тарифам на межмуниципальных маршрутах Пензенской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Оплата фактически выполненных работ осуществляется ежемесячно на основании акта приемки выполненных работ, акты за декабрь в сумме 16 477,4 тыс. руб.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подписаны в январе 2023, оп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лата в 2023 году, Экономия по фактически оказанным услугам 980,2 тыс. руб.</w:t>
            </w:r>
          </w:p>
        </w:tc>
      </w:tr>
      <w:tr w:rsidR="00B74C40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819 0408 1620229340 000 000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Расходы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оплату государственных контрактов на осуществление регулярных пассажирских перевозок по регулируемым тарифам на муниципальных маршрутах  в Пе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нзенской городской агломерации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87,12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Оплата фактически выполненных работ осуществляется ежемесячно на основании акта приемки выполненных работ, акты за декабрь на сумму 62 655,0 тыс. руб. подписаны в январе 2023, оплата в 2023 году. Экономия по фактически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оказанным услугам 14 328,8 тыс. руб.</w:t>
            </w:r>
          </w:p>
        </w:tc>
      </w:tr>
      <w:tr w:rsidR="00B74C40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819 0113 9930020500 000 000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Бюджетные ассигнования из резервного фонда Правительства Пензенской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94,95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Оплата за фактически оказанные услуги производится ежемесячно, акт за декабрь на сумму 330,0 тыс. руб.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подпи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сан в январе 2023, оплачен в 2023 году.</w:t>
            </w:r>
          </w:p>
        </w:tc>
      </w:tr>
      <w:tr w:rsidR="00B74C40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819 0203 9930020500 000 000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Бюджетные ассигнования из резервного фонда Правительства Пензенской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88,04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Оплата за фактически оказанные услуги производится ежемесячно, акты на сумму 432,0 тыс. руб. подписаны в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январе 2023, оплачены в 2023 году, Экономия по фактически оказанным услугам на сумму 9 164,0 тыс. руб.</w:t>
            </w:r>
          </w:p>
        </w:tc>
      </w:tr>
      <w:tr w:rsidR="00B74C40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819 0113 1420164140 000 000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Расходы на оплату государственных контрактов на сопровождение ГИС портала и программы для ЭВМ «Аналитическая платформа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интеллектуальных бизнес-приложений»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88,75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Оплата фактически выполненных работ осуществляется ежемесячно на основании акта приемки выполненных работ, акты за декабрь в сумме 281,25 тыс. руб. подписаны в январе 2023, оплата в 2023 году</w:t>
            </w:r>
          </w:p>
        </w:tc>
      </w:tr>
    </w:tbl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В рамках реализаци</w:t>
      </w:r>
      <w:r>
        <w:rPr>
          <w:rFonts w:ascii="Calibri" w:eastAsia="Calibri" w:hAnsi="Calibri" w:cs="Calibri"/>
          <w:color w:val="000000"/>
          <w:sz w:val="28"/>
          <w:szCs w:val="28"/>
        </w:rPr>
        <w:t>и национального проекта «Цифровая экономика», сформированы региональные проекты: «Информационная инфраструктура», «Цифровое государственное управление», «Цифровые технологии», «Информационная безопасность», «Кадры для цифровой экономики». Кассовое исполнен</w:t>
      </w:r>
      <w:r>
        <w:rPr>
          <w:rFonts w:ascii="Calibri" w:eastAsia="Calibri" w:hAnsi="Calibri" w:cs="Calibri"/>
          <w:color w:val="000000"/>
          <w:sz w:val="28"/>
          <w:szCs w:val="28"/>
        </w:rPr>
        <w:t>ие по региональному проекту «Информационная безопасность» составило 3 500,00 тыс. руб., 100 % от плана.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рамках реализации национального проекта «Безопасные качественные дороги» сформирован региональный проект «Общесистемные меры развития дорожного хозяйс</w:t>
      </w:r>
      <w:r>
        <w:rPr>
          <w:rFonts w:ascii="Calibri" w:eastAsia="Calibri" w:hAnsi="Calibri" w:cs="Calibri"/>
          <w:color w:val="000000"/>
          <w:sz w:val="28"/>
          <w:szCs w:val="28"/>
        </w:rPr>
        <w:t>тва». Кассовое исполнение 135 025.0 тыс. руб., 99,97 % от плана.  </w:t>
      </w:r>
    </w:p>
    <w:p w:rsidR="00B74C40" w:rsidRDefault="00340C08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74C40" w:rsidRDefault="00340C08">
      <w:pPr>
        <w:numPr>
          <w:ilvl w:val="0"/>
          <w:numId w:val="4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показателей финансовой отчетности</w:t>
      </w:r>
    </w:p>
    <w:p w:rsidR="00B74C40" w:rsidRDefault="00340C08">
      <w:pPr>
        <w:spacing w:line="300" w:lineRule="atLeast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«Сведения о показателях отчетности по сегментам»</w:t>
      </w:r>
    </w:p>
    <w:p w:rsidR="00B74C40" w:rsidRDefault="00340C08">
      <w:pPr>
        <w:spacing w:line="300" w:lineRule="atLeast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81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679"/>
      </w:tblGrid>
      <w:tr w:rsidR="00B74C40"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Состав показателя</w:t>
            </w:r>
          </w:p>
        </w:tc>
      </w:tr>
      <w:tr w:rsidR="00B74C40"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Признанные доходы за период – 593 082 363,99 руб.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1.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Налоговые доходы, таможенные платежи и взносы на обязательное социальное страхование – отсутствуют.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2. Доходы от собственности – отсутствуют.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3. Доходы от оказания платных услуг (работ), компенсаций затрат – отсутствуют.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4. Доходы от операций с активами –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отсутствуют – 451 596 128,44 руб.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5. Полученные межбюджетные трансферты – 117 461 890,0 руб.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6. Полученные субсидии, гранты, имущественные взносы – отсутствуют.</w:t>
            </w:r>
          </w:p>
        </w:tc>
      </w:tr>
      <w:tr w:rsidR="00B74C40"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Признанные расходы за период – 1 745 235 074,50 руб.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1.Оплата труда, начисления на выплаты по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оплате труда – 47 151 249,74 руб.</w:t>
            </w:r>
          </w:p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2. Оплата работ, услуг – 750 576 468,15 руб.</w:t>
            </w:r>
          </w:p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3. Расходы по операциям с активами – 12 170 978,07 руб.</w:t>
            </w:r>
          </w:p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4. Расходы по социальному обеспечению – 5 293 208,20 руб.</w:t>
            </w:r>
          </w:p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5. Расходы на уплату налогов, пошлин, сборов и иных обязательн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ых платежей – 48 770,0 руб.</w:t>
            </w:r>
          </w:p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6. Предоставленные межбюджетные трансферты – отсутствуют.</w:t>
            </w:r>
          </w:p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7. Предоставленные субсидии, гранты, имущественные взносы – 917 169 729,51 руб.</w:t>
            </w:r>
          </w:p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8. Расходы по обслуживанию государственного (муниципального) долга – отсутствуют.</w:t>
            </w:r>
          </w:p>
        </w:tc>
      </w:tr>
      <w:tr w:rsidR="00B74C40"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 xml:space="preserve">Активы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(финансовые и нефинансовые) на конец периода – 2 872 670 030,62 руб.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1.Недвижимое имущество – отсутствует.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2. Непроизведенные активы – отсутствуют.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3. Имущество, составляющее государственную (муниципальную) казну – отсутствует.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4. Денежные средства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учреждения – 5 593 566,19 руб.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5. Финансовые вложения – 950 539 405,58 руб.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6. Расчеты по доходам – 177 865 739,62 руб.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7. Расчеты по предоставленным кредитам, займам (ссудам) – отсутствуют.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B74C40"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Обязательства на конец периода – 180 593 207,92 руб.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1.Расчеты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с кредиторами по долговым обязательствам – отсутствуют.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2. прочие расчеты с кредиторами – 5 606 436,19 руб.</w:t>
            </w:r>
          </w:p>
          <w:p w:rsidR="00B74C40" w:rsidRDefault="00340C08">
            <w:pPr>
              <w:spacing w:line="300" w:lineRule="atLeas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3. Расчеты по платежам в бюджеты – отсутствуют.</w:t>
            </w:r>
          </w:p>
        </w:tc>
      </w:tr>
    </w:tbl>
    <w:p w:rsidR="00B74C40" w:rsidRDefault="00340C08">
      <w:pPr>
        <w:spacing w:line="300" w:lineRule="atLeast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Показатели, характеризующие финансовую отчетность, отражены в  следующих приложениях к  поясните</w:t>
      </w:r>
      <w:r>
        <w:rPr>
          <w:rFonts w:ascii="Calibri" w:eastAsia="Calibri" w:hAnsi="Calibri" w:cs="Calibri"/>
          <w:color w:val="000000"/>
          <w:sz w:val="28"/>
          <w:szCs w:val="28"/>
        </w:rPr>
        <w:t>льной записке: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Сведения о движении нефинансовых активов (ф. 0503168);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Приобретены: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Источники бесперебойного питания на сумму 200,0 тыс. руб.;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офисная мебель – 17,8 тыс. руб.;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горизонтальные жалюзи – 62,5 тыс. руб.;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АТС и телефоны – 597,0 тыс. </w:t>
      </w:r>
      <w:r>
        <w:rPr>
          <w:rFonts w:ascii="Calibri" w:eastAsia="Calibri" w:hAnsi="Calibri" w:cs="Calibri"/>
          <w:color w:val="000000"/>
          <w:sz w:val="28"/>
          <w:szCs w:val="28"/>
        </w:rPr>
        <w:t>руб.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На основании приказов Министерства государственного имущества Пензенской области от 21.01.2022 № 15-пр, от 18.02.2022 № 52-пр, от 05.03.2022 № 66-пр передано безвозмездно исполнительным органам государственной власти, бюджетным учреждениям 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ензенской области иное движимое имущество на сумму 1 339,4 тыс. руб. </w:t>
      </w:r>
    </w:p>
    <w:p w:rsidR="00B74C40" w:rsidRDefault="00340C08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 основании приказов Министерства государственного имущества Пензенской области от 14.01.2022 № 3-пр, от 21.01.2022 № 21-пр, от 02.02.2022 № 22-пр, от 18.02.2022 № 51-пр, от 05.03.2022 </w:t>
      </w:r>
      <w:r>
        <w:rPr>
          <w:rFonts w:ascii="Calibri" w:eastAsia="Calibri" w:hAnsi="Calibri" w:cs="Calibri"/>
          <w:color w:val="000000"/>
          <w:sz w:val="28"/>
          <w:szCs w:val="28"/>
        </w:rPr>
        <w:t>№ 64-пр, 06.05.2022 № 164-пр передано безвозмездно в муниципальную собственность районов Пензенской области иное движимое имущество на сумму 4 409,1 тыс. руб.                                       </w:t>
      </w:r>
    </w:p>
    <w:p w:rsidR="00B74C40" w:rsidRDefault="00340C08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основании приказа Министерства государственного имущест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ва Пензенской области от 24.05.2022 № 183-пр у ГКУ «Организатор перевозок Пензенской области» было изъято помещение площадью 94,3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кв.м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на сумму 3 493,2 тыс. руб. и закреплено на праве хозяйственного ведения за ГУП «Областная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газоэнергетическая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компания».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На основании приказов Министерства государственного имущества Пензенской области получено безвозмездно от Управления транспорта Пензенской области иное движимое имущество на сумму 1 453,8 тыс. руб.</w:t>
      </w:r>
    </w:p>
    <w:p w:rsidR="00B74C40" w:rsidRDefault="00340C0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 приказа Министерства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осударственного имущества Пензенской области от 21.12.2021 № 550-пр  ГАУ «МФЦ» безвозмездно передали ГКУ «Организатор перевозок Пензенской области» основные средства на 569,1 тыс. руб.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Сведения по дебиторской и кредиторской задолженности по состоянию на </w:t>
      </w:r>
      <w:r>
        <w:rPr>
          <w:rFonts w:ascii="Calibri" w:eastAsia="Calibri" w:hAnsi="Calibri" w:cs="Calibri"/>
          <w:color w:val="000000"/>
          <w:sz w:val="28"/>
          <w:szCs w:val="28"/>
        </w:rPr>
        <w:t>01.01.2023 г. приведены в ф. 0503169 приложения.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на 01.01.2022 г. составляет 27,6 тыс. руб., в том числе: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по доходам: невыясненные поступления – 14,7 тыс. руб.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по расходам: 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по статье 349 «Увеличение стоимости прочих материаль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ных запасов однократного применения» - 12,9 тыс. руб. 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Дебиторская задолженность, всего -1 827 940,7 тыс. руб., в том числе: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доходам: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статье 151 "Поступления текущего характера от других бюджетов бюджетной системы Россий</w:t>
      </w:r>
      <w:r>
        <w:rPr>
          <w:rFonts w:ascii="Calibri" w:eastAsia="Calibri" w:hAnsi="Calibri" w:cs="Calibri"/>
          <w:color w:val="000000"/>
          <w:sz w:val="28"/>
          <w:szCs w:val="28"/>
        </w:rPr>
        <w:t>ской Федерации"- 172 700,2 тыс. руб., в том числе: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субсидия из федерального бюджета на поддержку региональных проектов в сфере информационных технологий на 2023-2024 г.- 8 022,2 тыс. руб., в том числе долгосрочная – 4 012,7 тыс. руб.;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r>
        <w:rPr>
          <w:rFonts w:ascii="Calibri" w:eastAsia="Calibri" w:hAnsi="Calibri" w:cs="Calibri"/>
          <w:color w:val="000000"/>
          <w:sz w:val="28"/>
          <w:szCs w:val="28"/>
        </w:rPr>
        <w:t>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-субсидия, иной межбюджетный трансферт, имеющий целевое значение в целях внедрения автоматизированных 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робототизированных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технологий организации дорожного движения и контроля за соблюдением правил дорожного движения (внедрения интеллектуальных тра</w:t>
      </w:r>
      <w:r>
        <w:rPr>
          <w:rFonts w:ascii="Calibri" w:eastAsia="Calibri" w:hAnsi="Calibri" w:cs="Calibri"/>
          <w:color w:val="000000"/>
          <w:sz w:val="28"/>
          <w:szCs w:val="28"/>
        </w:rPr>
        <w:t>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человек) на 2023-2025 г. – 166 100,0 тыс. руб., в том числе долгосрочная – 88 655,3 тыс. руб.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proofErr w:type="gramEnd"/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субсидия из федерального бюджета в целях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расходных обязательств субъекта РФ, возникающих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пр</w:t>
      </w:r>
      <w:proofErr w:type="spellEnd"/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поддержке переоборудования существующей автомобильной техники, включая общественный транспорт и коммунальную технику, для использован</w:t>
      </w:r>
      <w:r>
        <w:rPr>
          <w:rFonts w:ascii="Calibri" w:eastAsia="Calibri" w:hAnsi="Calibri" w:cs="Calibri"/>
          <w:color w:val="000000"/>
          <w:sz w:val="28"/>
          <w:szCs w:val="28"/>
        </w:rPr>
        <w:t>ия природного газа в качестве топлива на 2023-2024 г.- 4 578,0 тыс. руб., в том числе долгосрочная – 3 052,0 тыс. руб.;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доходы бюджетов субъектов Российской Федерации от возврата ГБУ ПО «Аэропорт города Пензы» остатков субсидий прошлых лет- 4 46</w:t>
      </w:r>
      <w:r>
        <w:rPr>
          <w:rFonts w:ascii="Calibri" w:eastAsia="Calibri" w:hAnsi="Calibri" w:cs="Calibri"/>
          <w:color w:val="000000"/>
          <w:sz w:val="28"/>
          <w:szCs w:val="28"/>
        </w:rPr>
        <w:t>0,9 тыс. руб.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статье 140 «Расчеты по доходам от прочих сумм принудительного изъятия» - 704,6 тыс. руб., в том числе: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-госпошлина на разрешение таксистской деятельности – 681,7 тыс. руб.;</w:t>
      </w:r>
    </w:p>
    <w:p w:rsidR="00B74C40" w:rsidRDefault="00340C08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-штрафы по постановлениям об админис</w:t>
      </w:r>
      <w:r>
        <w:rPr>
          <w:rFonts w:ascii="Calibri" w:eastAsia="Calibri" w:hAnsi="Calibri" w:cs="Calibri"/>
          <w:color w:val="000000"/>
          <w:sz w:val="28"/>
          <w:szCs w:val="28"/>
        </w:rPr>
        <w:t>тративной ответственности– 22,9 тыс. руб.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расходам – 1 650 075,1 тыс. руб., в том числе: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статье 221 «услуги связи» - 20,3 тыс. руб.;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статье 223 «коммунальные услуги» - 4,7 тыс. руб.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статье 310 «увеличение стоимости основных средств» - </w:t>
      </w:r>
      <w:r>
        <w:rPr>
          <w:rFonts w:ascii="Calibri" w:eastAsia="Calibri" w:hAnsi="Calibri" w:cs="Calibri"/>
          <w:color w:val="000000"/>
          <w:sz w:val="28"/>
          <w:szCs w:val="28"/>
        </w:rPr>
        <w:t>1 650 050,0 тыс. руб., оплачен аванс по государственному контракту № 4-К-2022 от 14.11.2022 г., заключенному с АО «Уфимский трамвайно-троллейбусный завод» на поставку троллейбусов. Контракт заключен за счет средств бюджетного кредита, предоставленного бюдж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ету Пензенской области на финансовое обеспечение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реализации инфраструктурных проектов. Цена контракта 2 232 000,0 тыс. руб. Срок поставки – до 31.10.2023 г.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Сведения по изменению валюты баланса  приведены в ф. 0503173 приложения. 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зменился код целевой с</w:t>
      </w:r>
      <w:r>
        <w:rPr>
          <w:rFonts w:ascii="Calibri" w:eastAsia="Calibri" w:hAnsi="Calibri" w:cs="Calibri"/>
          <w:color w:val="000000"/>
          <w:sz w:val="28"/>
          <w:szCs w:val="28"/>
        </w:rPr>
        <w:t>татьи расходов по дебиторской задолженности на начало года по смете расходов ГКУ «Организатор перевозок Пензенской области».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Бюджетному учреждению Пензенской области «Безопасный регион» в целях осуществления деятельности, предусмотренной Уставом, утвержд</w:t>
      </w:r>
      <w:r>
        <w:rPr>
          <w:rFonts w:ascii="Calibri" w:eastAsia="Calibri" w:hAnsi="Calibri" w:cs="Calibri"/>
          <w:color w:val="000000"/>
          <w:sz w:val="28"/>
          <w:szCs w:val="28"/>
        </w:rPr>
        <w:t>ены государственные задания: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1) на выполнение работ по техническому сопровождению и эксплуатации, выводу из эксплуатации информационных систем и компонентов информационно-телекоммуникационной инфраструктуры, содержащее количественные показатели ре</w:t>
      </w:r>
      <w:r>
        <w:rPr>
          <w:rFonts w:ascii="Calibri" w:eastAsia="Calibri" w:hAnsi="Calibri" w:cs="Calibri"/>
          <w:color w:val="000000"/>
          <w:sz w:val="28"/>
          <w:szCs w:val="28"/>
        </w:rPr>
        <w:t>зультатов деятельности ГБУ «Безопасный регион» по достижению стратегических целей и задач развития на 2022 в следующих объемах: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- 1 502 700 шт. вынесенных и отправленных постановлений о нарушениях правил дорожного движения.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 результате исполнения мероприя</w:t>
      </w:r>
      <w:r>
        <w:rPr>
          <w:rFonts w:ascii="Calibri" w:eastAsia="Calibri" w:hAnsi="Calibri" w:cs="Calibri"/>
          <w:color w:val="000000"/>
          <w:sz w:val="28"/>
          <w:szCs w:val="28"/>
        </w:rPr>
        <w:t>тия за 12 месяцев 2022 года была предоставлена информация о фиксации 1 484 816 ед. нарушений ПДД, количество обработанных постановлений составило 1 484 816 ед., а отправленных 1 481 748 ед. Разница между обработанными и отправленными постановлениями в 3 06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8 ед. образовалась в результате невозможности отправки постановлений в 2022 году по следующим причинам: </w:t>
      </w:r>
      <w:proofErr w:type="gramEnd"/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а) в соответствии с правилами направления экземпляров постановлений и копий решений по жалобам на постановления по делу об административном правонаруше</w:t>
      </w:r>
      <w:r>
        <w:rPr>
          <w:rFonts w:ascii="Calibri" w:eastAsia="Calibri" w:hAnsi="Calibri" w:cs="Calibri"/>
          <w:color w:val="000000"/>
          <w:sz w:val="28"/>
          <w:szCs w:val="28"/>
        </w:rPr>
        <w:t>нии и материалов, полученных с применением работающих в автоматическом режиме специальных технических средств, имеющих функции фото- и киносъемки, видеозаписи, или средств фото- и киносъемки, видеозаписи, лицу, в отношении которого возбуждено дело об админ</w:t>
      </w:r>
      <w:r>
        <w:rPr>
          <w:rFonts w:ascii="Calibri" w:eastAsia="Calibri" w:hAnsi="Calibri" w:cs="Calibri"/>
          <w:color w:val="000000"/>
          <w:sz w:val="28"/>
          <w:szCs w:val="28"/>
        </w:rPr>
        <w:t>истративном правонарушении, в форме электронного документа, подписанного усиленной квалифицированной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электронной подписью уполномоченного должностного лица, с использованием Единого портала государственных и муниципальных услуг, утвержденными постановление</w:t>
      </w:r>
      <w:r>
        <w:rPr>
          <w:rFonts w:ascii="Calibri" w:eastAsia="Calibri" w:hAnsi="Calibri" w:cs="Calibri"/>
          <w:color w:val="000000"/>
          <w:sz w:val="28"/>
          <w:szCs w:val="28"/>
        </w:rPr>
        <w:t>м Правительства Российской Федерации от 19 июня 2021 г. N 947, Постановление считается доставленным (врученным) адресату в соответствии с пунктом 3 настоящих Правил на следующий день с момента его размещения в личном кабинете адресата на едином портале (пр</w:t>
      </w:r>
      <w:r>
        <w:rPr>
          <w:rFonts w:ascii="Calibri" w:eastAsia="Calibri" w:hAnsi="Calibri" w:cs="Calibri"/>
          <w:color w:val="000000"/>
          <w:sz w:val="28"/>
          <w:szCs w:val="28"/>
        </w:rPr>
        <w:t>и наличии согласия адресата на получение постановлений исключительно 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личный кабинет на едином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портале) или с момента входа адресата на единый портал с использованием единой системы идентификац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ии и ау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тентификации в течение 7 дней со дня размещения постано</w:t>
      </w:r>
      <w:r>
        <w:rPr>
          <w:rFonts w:ascii="Calibri" w:eastAsia="Calibri" w:hAnsi="Calibri" w:cs="Calibri"/>
          <w:color w:val="000000"/>
          <w:sz w:val="28"/>
          <w:szCs w:val="28"/>
        </w:rPr>
        <w:t>вления в личном кабинете на едином портале - 2 134 ед.;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б) из-за удаленности расположения центра печати (г. Казань) – 1 020 ед.; 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рамках обслуживания и поддержания функционирования аппаратно-программного комплекса АПК «Безопасный город» запланированный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показатель количество обслуживаемых IP камер наружного видеонаблюдения - 200 шт., в течение 2022 года обслуживали 200 камер; качественный показатель количество сбоев в системе, повлекшее за собой ее неработоспособность в течение 24 часов и более - 22/64 ш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т./час. Показатель исполнения за отчетный период – 22/64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2) на выполнение работы по внедрению, эксплуатации и обслуживанию аппаратно-программного комплекса для обеспечения бесперебойной и безаварийной работы системы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авил дорожного движения, содержащие показатели результатов деятельности в следующих объемах: 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созданных и обслуживаемых аппаратно-программных комплексов запланировано - 1 шт., со средним сроком простоя государственных информационных систем в р</w:t>
      </w:r>
      <w:r>
        <w:rPr>
          <w:rFonts w:ascii="Calibri" w:eastAsia="Calibri" w:hAnsi="Calibri" w:cs="Calibri"/>
          <w:color w:val="000000"/>
          <w:sz w:val="28"/>
          <w:szCs w:val="28"/>
        </w:rPr>
        <w:t>езультате компьютерных атак не более 70 часов, за отчетный период составило 27 час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.;</w:t>
      </w:r>
      <w:proofErr w:type="gramEnd"/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3) на выполнение работы по сопровождению и модернизации комплексной системы предоставления государственных и муниципальных услуг Пензенской области, содержащее показатели </w:t>
      </w:r>
      <w:r>
        <w:rPr>
          <w:rFonts w:ascii="Calibri" w:eastAsia="Calibri" w:hAnsi="Calibri" w:cs="Calibri"/>
          <w:color w:val="000000"/>
          <w:sz w:val="28"/>
          <w:szCs w:val="28"/>
        </w:rPr>
        <w:t>результатов деятельности в следующих объемах: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консультационное сопровождение пользователей при регистрации, тестировании и работе  КСПГМУ  - 2050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за 2022г. составило 2050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сопровождаемых услуг в соответствии с тр</w:t>
      </w:r>
      <w:r>
        <w:rPr>
          <w:rFonts w:ascii="Calibri" w:eastAsia="Calibri" w:hAnsi="Calibri" w:cs="Calibri"/>
          <w:color w:val="000000"/>
          <w:sz w:val="28"/>
          <w:szCs w:val="28"/>
        </w:rPr>
        <w:t>ебованиями Постановления Правительства РФ от 26.03.2016 № 236 «О требованиях к предоставлению в электронной форме государственных и муниципальных услуг» и сводными матрицами составов действий, выполнение которых обеспечивается заявителю в электронной форме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за 2022г. составило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сопровождаемых сервисов – не менее 72. Исполнение за 9 месяцев 2022г. составило 72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сбоев в системе, повлекших за собой ее неработоспособность в течение 24 ча</w:t>
      </w:r>
      <w:r>
        <w:rPr>
          <w:rFonts w:ascii="Calibri" w:eastAsia="Calibri" w:hAnsi="Calibri" w:cs="Calibri"/>
          <w:color w:val="000000"/>
          <w:sz w:val="28"/>
          <w:szCs w:val="28"/>
        </w:rPr>
        <w:t>сов и боле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е-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; Суммарное время недоступности системы за 2022г. (за исключением времени для проведения регламентных работ) -  0/0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4) на внедрение, развитие и модернизация элементов интеллектуальной транспортной системы Пензенской агломерации и элем</w:t>
      </w:r>
      <w:r>
        <w:rPr>
          <w:rFonts w:ascii="Calibri" w:eastAsia="Calibri" w:hAnsi="Calibri" w:cs="Calibri"/>
          <w:color w:val="000000"/>
          <w:sz w:val="28"/>
          <w:szCs w:val="28"/>
        </w:rPr>
        <w:t>ентов автоматизированных систем управления дорожным движением, в том числе элементов систем передачи данных показатели результатов деятельности: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создание и техническое сопровождение объектов интеллектуальной транспортной системы Пензенской агломерации – </w:t>
      </w:r>
      <w:r>
        <w:rPr>
          <w:rFonts w:ascii="Calibri" w:eastAsia="Calibri" w:hAnsi="Calibri" w:cs="Calibri"/>
          <w:color w:val="000000"/>
          <w:sz w:val="28"/>
          <w:szCs w:val="28"/>
        </w:rPr>
        <w:t>30 шт. 2022 года количество объектов интеллектуальной транспортной системы Пензенской агломерации созданных и сопровождаемых технически составило 30 шт.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Бюджетному учреждению Пензенской области «Аэропорт города Пензы» в целях осуществления деятел</w:t>
      </w:r>
      <w:r>
        <w:rPr>
          <w:rFonts w:ascii="Calibri" w:eastAsia="Calibri" w:hAnsi="Calibri" w:cs="Calibri"/>
          <w:color w:val="000000"/>
          <w:sz w:val="28"/>
          <w:szCs w:val="28"/>
        </w:rPr>
        <w:t>ьности, предусмотренной Уставом, утверждено государственное задание на организацию работ по обслуживанию населения воздушным транспортом с показателями: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отправленных пассажиров: план -155016 чел., факт-126361 чел.;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прибывших пасса</w:t>
      </w:r>
      <w:r>
        <w:rPr>
          <w:rFonts w:ascii="Calibri" w:eastAsia="Calibri" w:hAnsi="Calibri" w:cs="Calibri"/>
          <w:color w:val="000000"/>
          <w:sz w:val="28"/>
          <w:szCs w:val="28"/>
        </w:rPr>
        <w:t>жиров: план -155016 чел., факт – 1275730 чел.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 финансовых вложениях по состоянию на 01.01.2023 г. приведены в ф. 0503171 приложения.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Финансовые вложения – участие в ГБУ «Безопасный регион» - 752 333,6 тыс. руб., участие в ГБУ ПО «Аэропорт города Пенза»» - 212 001,7 тыс. руб., 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Министерством не производилось отвлечение бюджетных сре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дств в ф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инансовые вложения (депозиты, акции</w:t>
      </w:r>
      <w:r>
        <w:rPr>
          <w:rFonts w:ascii="Calibri" w:eastAsia="Calibri" w:hAnsi="Calibri" w:cs="Calibri"/>
          <w:color w:val="000000"/>
          <w:sz w:val="28"/>
          <w:szCs w:val="28"/>
        </w:rPr>
        <w:t>, облигации, векселя, уставные фонды и т. п). Долговых обязательств по кредитам не имеется.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Недостач и хищений денежных средств и материальных ценностей в отчетном году не установлено.</w:t>
      </w:r>
    </w:p>
    <w:p w:rsidR="00B74C40" w:rsidRDefault="00340C08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74C40" w:rsidRDefault="00340C08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5. Прочие вопросы деятельности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Бюджетный учет осуществляется на основании оформленных надлежащим образом первичных документов. Ведение бюджетного учета и формирование бюджетной отчетности  полностью осуществляется при помощи программы АС «Смета». </w:t>
      </w:r>
    </w:p>
    <w:p w:rsidR="00B74C40" w:rsidRDefault="00340C08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отчетном периоде Министерством осущес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твлялись мероприятия по внутреннему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контролю за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соблюдением требований бюджетного законодательства, соблюдением финансовой дисциплины и эффективным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использованием материальных и финансовых ресурсов, а также правильным ведением бюджетного учета и составлени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ем отчетности. </w:t>
      </w:r>
    </w:p>
    <w:p w:rsidR="00B74C40" w:rsidRDefault="00340C08">
      <w:pPr>
        <w:numPr>
          <w:ilvl w:val="0"/>
          <w:numId w:val="5"/>
        </w:numPr>
        <w:spacing w:line="320" w:lineRule="atLeast"/>
        <w:ind w:left="0"/>
        <w:jc w:val="both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Инвентаризация имущества и обязатель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ств пр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оведена по состоянию на 01.01.2023 г. в целях составления годовой бухгалтерской отчетности на основании приказа от 30.12.2022 № 919-о/д. Расхождений фактического наличия с данными бюджетного учета 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 установлено. Выверка расчетов с поставщиками, с внебюджетными фондами проведена. Расхождений не установлено.     В связи с отсутствием числового значения у всех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показателей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предусмотренных формами бюджетной отчетности, в составе бюджетной отчетности за 2</w:t>
      </w:r>
      <w:r>
        <w:rPr>
          <w:rFonts w:ascii="Calibri" w:eastAsia="Calibri" w:hAnsi="Calibri" w:cs="Calibri"/>
          <w:color w:val="000000"/>
          <w:sz w:val="28"/>
          <w:szCs w:val="28"/>
        </w:rPr>
        <w:t>022 год отсутствуют следующие формы отчетности:</w:t>
      </w:r>
    </w:p>
    <w:p w:rsidR="00B74C40" w:rsidRDefault="00340C08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softHyphen/>
        <w:t>-   таблица 6 «Сведения о проведении инвентаризаций»;</w:t>
      </w:r>
    </w:p>
    <w:p w:rsidR="00B74C40" w:rsidRDefault="00340C08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форма 0503166 «Сведения об исполнении мероприятий в рамках целевых программ»;</w:t>
      </w:r>
    </w:p>
    <w:p w:rsidR="00B74C40" w:rsidRDefault="00340C08">
      <w:pPr>
        <w:numPr>
          <w:ilvl w:val="0"/>
          <w:numId w:val="6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0503167 «Сведения о целевых иностранных кредитах»;</w:t>
      </w:r>
    </w:p>
    <w:p w:rsidR="00B74C40" w:rsidRDefault="00340C08">
      <w:pPr>
        <w:numPr>
          <w:ilvl w:val="0"/>
          <w:numId w:val="6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0503172 «С</w:t>
      </w:r>
      <w:r>
        <w:rPr>
          <w:rFonts w:ascii="Calibri" w:eastAsia="Calibri" w:hAnsi="Calibri" w:cs="Calibri"/>
          <w:color w:val="000000"/>
          <w:sz w:val="28"/>
          <w:szCs w:val="28"/>
        </w:rPr>
        <w:t>ведения о государственном (муниципальном) долге»;</w:t>
      </w:r>
    </w:p>
    <w:p w:rsidR="00B74C40" w:rsidRDefault="00340C08">
      <w:pPr>
        <w:numPr>
          <w:ilvl w:val="0"/>
          <w:numId w:val="6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форма 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капитале; </w:t>
      </w:r>
    </w:p>
    <w:p w:rsidR="00B74C40" w:rsidRDefault="00340C08">
      <w:pPr>
        <w:numPr>
          <w:ilvl w:val="0"/>
          <w:numId w:val="6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</w:t>
      </w:r>
      <w:r>
        <w:rPr>
          <w:rFonts w:ascii="Calibri" w:eastAsia="Calibri" w:hAnsi="Calibri" w:cs="Calibri"/>
          <w:color w:val="000000"/>
          <w:sz w:val="28"/>
          <w:szCs w:val="28"/>
        </w:rPr>
        <w:t>3184 «Справка о суммах консолидированных поступлений, подлежащих зачислению на счет бюджета»;</w:t>
      </w:r>
    </w:p>
    <w:p w:rsidR="00B74C40" w:rsidRDefault="00340C08">
      <w:pPr>
        <w:numPr>
          <w:ilvl w:val="0"/>
          <w:numId w:val="6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0503296 « Сведения об исполнении судебных решений по денежным обязательствам бюджета».</w:t>
      </w:r>
    </w:p>
    <w:p w:rsidR="00B74C40" w:rsidRDefault="00340C08">
      <w:pPr>
        <w:pBdr>
          <w:bottom w:val="single" w:sz="12" w:space="0" w:color="000000"/>
        </w:pBdr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> </w:t>
      </w:r>
    </w:p>
    <w:p w:rsidR="00B74C40" w:rsidRDefault="00340C08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B74C40" w:rsidRDefault="00340C08">
      <w:r>
        <w:t> </w:t>
      </w:r>
    </w:p>
    <w:p w:rsidR="00B74C40" w:rsidRDefault="00340C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B74C40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B74C40"/>
        </w:tc>
      </w:tr>
      <w:tr w:rsidR="00B74C40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74C4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4C4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  <w:tr w:rsidR="00B74C4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74C4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  <w:tr w:rsidR="00B74C4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  <w:tr w:rsidR="00B74C4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74C40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340C0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B74C4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C40" w:rsidRDefault="00B74C40">
            <w:pPr>
              <w:rPr>
                <w:sz w:val="24"/>
              </w:rPr>
            </w:pPr>
          </w:p>
        </w:tc>
      </w:tr>
    </w:tbl>
    <w:p w:rsidR="00B74C40" w:rsidRDefault="00340C08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Лисицына Лариса Алексеевна, Сертификат: 00DDF385610F1170BDFDC10E1E511F4421, Действителен: с 06.04.2023 по 29.06.2024),Руководитель(Балакин Сергей Львович, Сертификат: 00A37E2DA5D45E16F5C3D877F3B2543EA6, Действителен: с 30.05.2022 по 23.08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.2023)        </w:t>
      </w:r>
    </w:p>
    <w:sectPr w:rsidR="00B74C40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F745"/>
    <w:multiLevelType w:val="hybridMultilevel"/>
    <w:tmpl w:val="8902AE96"/>
    <w:lvl w:ilvl="0" w:tplc="2AE44993">
      <w:start w:val="4"/>
      <w:numFmt w:val="decimal"/>
      <w:lvlText w:val="%1."/>
      <w:lvlJc w:val="left"/>
      <w:pPr>
        <w:ind w:left="720" w:hanging="360"/>
      </w:pPr>
    </w:lvl>
    <w:lvl w:ilvl="1" w:tplc="18DF6E3B">
      <w:start w:val="1"/>
      <w:numFmt w:val="decimal"/>
      <w:lvlText w:val="%2."/>
      <w:lvlJc w:val="left"/>
      <w:pPr>
        <w:ind w:left="1440" w:hanging="360"/>
      </w:pPr>
    </w:lvl>
    <w:lvl w:ilvl="2" w:tplc="4FDC5229">
      <w:start w:val="1"/>
      <w:numFmt w:val="decimal"/>
      <w:lvlText w:val="%3."/>
      <w:lvlJc w:val="left"/>
      <w:pPr>
        <w:ind w:left="2160" w:hanging="360"/>
      </w:pPr>
    </w:lvl>
    <w:lvl w:ilvl="3" w:tplc="5C29C790">
      <w:start w:val="1"/>
      <w:numFmt w:val="decimal"/>
      <w:lvlText w:val="%4."/>
      <w:lvlJc w:val="left"/>
      <w:pPr>
        <w:ind w:left="2880" w:hanging="360"/>
      </w:pPr>
    </w:lvl>
    <w:lvl w:ilvl="4" w:tplc="2E3F2384">
      <w:start w:val="1"/>
      <w:numFmt w:val="decimal"/>
      <w:lvlText w:val="%5."/>
      <w:lvlJc w:val="left"/>
      <w:pPr>
        <w:ind w:left="3600" w:hanging="360"/>
      </w:pPr>
    </w:lvl>
    <w:lvl w:ilvl="5" w:tplc="739A6B9C">
      <w:start w:val="1"/>
      <w:numFmt w:val="decimal"/>
      <w:lvlText w:val="%6."/>
      <w:lvlJc w:val="left"/>
      <w:pPr>
        <w:ind w:left="4320" w:hanging="360"/>
      </w:pPr>
    </w:lvl>
    <w:lvl w:ilvl="6" w:tplc="67C9131C">
      <w:start w:val="1"/>
      <w:numFmt w:val="decimal"/>
      <w:lvlText w:val="%7."/>
      <w:lvlJc w:val="left"/>
      <w:pPr>
        <w:ind w:left="5040" w:hanging="360"/>
      </w:pPr>
    </w:lvl>
    <w:lvl w:ilvl="7" w:tplc="32BDAAD3">
      <w:start w:val="1"/>
      <w:numFmt w:val="decimal"/>
      <w:lvlText w:val="%8."/>
      <w:lvlJc w:val="left"/>
      <w:pPr>
        <w:ind w:left="5760" w:hanging="360"/>
      </w:pPr>
    </w:lvl>
    <w:lvl w:ilvl="8" w:tplc="2C8D4666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14601ED3"/>
    <w:multiLevelType w:val="hybridMultilevel"/>
    <w:tmpl w:val="753CEA72"/>
    <w:lvl w:ilvl="0" w:tplc="0B61D27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5F0F145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6B2A6D9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6EE0ED39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145B93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6762559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ACEBE31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7C6DCF73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7DA933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>
    <w:nsid w:val="30BA4E9B"/>
    <w:multiLevelType w:val="hybridMultilevel"/>
    <w:tmpl w:val="A13CF3F0"/>
    <w:lvl w:ilvl="0" w:tplc="486DA890">
      <w:start w:val="2"/>
      <w:numFmt w:val="decimal"/>
      <w:lvlText w:val="%1."/>
      <w:lvlJc w:val="left"/>
      <w:pPr>
        <w:ind w:left="720" w:hanging="360"/>
      </w:pPr>
    </w:lvl>
    <w:lvl w:ilvl="1" w:tplc="6B280435">
      <w:start w:val="1"/>
      <w:numFmt w:val="decimal"/>
      <w:lvlText w:val="%2."/>
      <w:lvlJc w:val="left"/>
      <w:pPr>
        <w:ind w:left="1440" w:hanging="360"/>
      </w:pPr>
    </w:lvl>
    <w:lvl w:ilvl="2" w:tplc="4EC4E3F8">
      <w:start w:val="1"/>
      <w:numFmt w:val="decimal"/>
      <w:lvlText w:val="%3."/>
      <w:lvlJc w:val="left"/>
      <w:pPr>
        <w:ind w:left="2160" w:hanging="360"/>
      </w:pPr>
    </w:lvl>
    <w:lvl w:ilvl="3" w:tplc="6EAAA271">
      <w:start w:val="1"/>
      <w:numFmt w:val="decimal"/>
      <w:lvlText w:val="%4."/>
      <w:lvlJc w:val="left"/>
      <w:pPr>
        <w:ind w:left="2880" w:hanging="360"/>
      </w:pPr>
    </w:lvl>
    <w:lvl w:ilvl="4" w:tplc="7F7690AC">
      <w:start w:val="1"/>
      <w:numFmt w:val="decimal"/>
      <w:lvlText w:val="%5."/>
      <w:lvlJc w:val="left"/>
      <w:pPr>
        <w:ind w:left="3600" w:hanging="360"/>
      </w:pPr>
    </w:lvl>
    <w:lvl w:ilvl="5" w:tplc="1B257CCE">
      <w:start w:val="1"/>
      <w:numFmt w:val="decimal"/>
      <w:lvlText w:val="%6."/>
      <w:lvlJc w:val="left"/>
      <w:pPr>
        <w:ind w:left="4320" w:hanging="360"/>
      </w:pPr>
    </w:lvl>
    <w:lvl w:ilvl="6" w:tplc="5BE66B96">
      <w:start w:val="1"/>
      <w:numFmt w:val="decimal"/>
      <w:lvlText w:val="%7."/>
      <w:lvlJc w:val="left"/>
      <w:pPr>
        <w:ind w:left="5040" w:hanging="360"/>
      </w:pPr>
    </w:lvl>
    <w:lvl w:ilvl="7" w:tplc="30B49F53">
      <w:start w:val="1"/>
      <w:numFmt w:val="decimal"/>
      <w:lvlText w:val="%8."/>
      <w:lvlJc w:val="left"/>
      <w:pPr>
        <w:ind w:left="5760" w:hanging="360"/>
      </w:pPr>
    </w:lvl>
    <w:lvl w:ilvl="8" w:tplc="7A26EF29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3F0F380A"/>
    <w:multiLevelType w:val="hybridMultilevel"/>
    <w:tmpl w:val="8C6ECB4C"/>
    <w:lvl w:ilvl="0" w:tplc="077F47D6">
      <w:start w:val="3"/>
      <w:numFmt w:val="decimal"/>
      <w:lvlText w:val="%1."/>
      <w:lvlJc w:val="left"/>
      <w:pPr>
        <w:ind w:left="720" w:hanging="360"/>
      </w:pPr>
    </w:lvl>
    <w:lvl w:ilvl="1" w:tplc="5561B128">
      <w:start w:val="1"/>
      <w:numFmt w:val="decimal"/>
      <w:lvlText w:val="%2."/>
      <w:lvlJc w:val="left"/>
      <w:pPr>
        <w:ind w:left="1440" w:hanging="360"/>
      </w:pPr>
    </w:lvl>
    <w:lvl w:ilvl="2" w:tplc="760CEB1B">
      <w:start w:val="1"/>
      <w:numFmt w:val="decimal"/>
      <w:lvlText w:val="%3."/>
      <w:lvlJc w:val="left"/>
      <w:pPr>
        <w:ind w:left="2160" w:hanging="360"/>
      </w:pPr>
    </w:lvl>
    <w:lvl w:ilvl="3" w:tplc="0C5050D6">
      <w:start w:val="1"/>
      <w:numFmt w:val="decimal"/>
      <w:lvlText w:val="%4."/>
      <w:lvlJc w:val="left"/>
      <w:pPr>
        <w:ind w:left="2880" w:hanging="360"/>
      </w:pPr>
    </w:lvl>
    <w:lvl w:ilvl="4" w:tplc="5098E719">
      <w:start w:val="1"/>
      <w:numFmt w:val="decimal"/>
      <w:lvlText w:val="%5."/>
      <w:lvlJc w:val="left"/>
      <w:pPr>
        <w:ind w:left="3600" w:hanging="360"/>
      </w:pPr>
    </w:lvl>
    <w:lvl w:ilvl="5" w:tplc="4327E1C5">
      <w:start w:val="1"/>
      <w:numFmt w:val="decimal"/>
      <w:lvlText w:val="%6."/>
      <w:lvlJc w:val="left"/>
      <w:pPr>
        <w:ind w:left="4320" w:hanging="360"/>
      </w:pPr>
    </w:lvl>
    <w:lvl w:ilvl="6" w:tplc="34479EFF">
      <w:start w:val="1"/>
      <w:numFmt w:val="decimal"/>
      <w:lvlText w:val="%7."/>
      <w:lvlJc w:val="left"/>
      <w:pPr>
        <w:ind w:left="5040" w:hanging="360"/>
      </w:pPr>
    </w:lvl>
    <w:lvl w:ilvl="7" w:tplc="72330963">
      <w:start w:val="1"/>
      <w:numFmt w:val="decimal"/>
      <w:lvlText w:val="%8."/>
      <w:lvlJc w:val="left"/>
      <w:pPr>
        <w:ind w:left="5760" w:hanging="360"/>
      </w:pPr>
    </w:lvl>
    <w:lvl w:ilvl="8" w:tplc="326DE7EE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47C6DF02"/>
    <w:multiLevelType w:val="hybridMultilevel"/>
    <w:tmpl w:val="90EC22B6"/>
    <w:lvl w:ilvl="0" w:tplc="3D0A9F0F">
      <w:start w:val="1"/>
      <w:numFmt w:val="decimal"/>
      <w:lvlText w:val="%1."/>
      <w:lvlJc w:val="left"/>
      <w:pPr>
        <w:ind w:left="720" w:hanging="360"/>
      </w:pPr>
    </w:lvl>
    <w:lvl w:ilvl="1" w:tplc="0FA81FA6">
      <w:start w:val="1"/>
      <w:numFmt w:val="decimal"/>
      <w:lvlText w:val="%2."/>
      <w:lvlJc w:val="left"/>
      <w:pPr>
        <w:ind w:left="1440" w:hanging="360"/>
      </w:pPr>
    </w:lvl>
    <w:lvl w:ilvl="2" w:tplc="546DD8E8">
      <w:start w:val="1"/>
      <w:numFmt w:val="decimal"/>
      <w:lvlText w:val="%3."/>
      <w:lvlJc w:val="left"/>
      <w:pPr>
        <w:ind w:left="2160" w:hanging="360"/>
      </w:pPr>
    </w:lvl>
    <w:lvl w:ilvl="3" w:tplc="14CA3270">
      <w:start w:val="1"/>
      <w:numFmt w:val="decimal"/>
      <w:lvlText w:val="%4."/>
      <w:lvlJc w:val="left"/>
      <w:pPr>
        <w:ind w:left="2880" w:hanging="360"/>
      </w:pPr>
    </w:lvl>
    <w:lvl w:ilvl="4" w:tplc="0693290E">
      <w:start w:val="1"/>
      <w:numFmt w:val="decimal"/>
      <w:lvlText w:val="%5."/>
      <w:lvlJc w:val="left"/>
      <w:pPr>
        <w:ind w:left="3600" w:hanging="360"/>
      </w:pPr>
    </w:lvl>
    <w:lvl w:ilvl="5" w:tplc="55FAB1AE">
      <w:start w:val="1"/>
      <w:numFmt w:val="decimal"/>
      <w:lvlText w:val="%6."/>
      <w:lvlJc w:val="left"/>
      <w:pPr>
        <w:ind w:left="4320" w:hanging="360"/>
      </w:pPr>
    </w:lvl>
    <w:lvl w:ilvl="6" w:tplc="1C9EF789">
      <w:start w:val="1"/>
      <w:numFmt w:val="decimal"/>
      <w:lvlText w:val="%7."/>
      <w:lvlJc w:val="left"/>
      <w:pPr>
        <w:ind w:left="5040" w:hanging="360"/>
      </w:pPr>
    </w:lvl>
    <w:lvl w:ilvl="7" w:tplc="4B5B9198">
      <w:start w:val="1"/>
      <w:numFmt w:val="decimal"/>
      <w:lvlText w:val="%8."/>
      <w:lvlJc w:val="left"/>
      <w:pPr>
        <w:ind w:left="5760" w:hanging="360"/>
      </w:pPr>
    </w:lvl>
    <w:lvl w:ilvl="8" w:tplc="0C24C2F2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60829331"/>
    <w:multiLevelType w:val="hybridMultilevel"/>
    <w:tmpl w:val="2C90D674"/>
    <w:lvl w:ilvl="0" w:tplc="1B9E8799">
      <w:start w:val="1"/>
      <w:numFmt w:val="decimal"/>
      <w:lvlText w:val="%1."/>
      <w:lvlJc w:val="left"/>
      <w:pPr>
        <w:ind w:left="720" w:hanging="360"/>
      </w:pPr>
    </w:lvl>
    <w:lvl w:ilvl="1" w:tplc="76424A95">
      <w:start w:val="1"/>
      <w:numFmt w:val="decimal"/>
      <w:lvlText w:val="%2."/>
      <w:lvlJc w:val="left"/>
      <w:pPr>
        <w:ind w:left="1440" w:hanging="360"/>
      </w:pPr>
    </w:lvl>
    <w:lvl w:ilvl="2" w:tplc="734FE856">
      <w:start w:val="1"/>
      <w:numFmt w:val="decimal"/>
      <w:lvlText w:val="%3."/>
      <w:lvlJc w:val="left"/>
      <w:pPr>
        <w:ind w:left="2160" w:hanging="360"/>
      </w:pPr>
    </w:lvl>
    <w:lvl w:ilvl="3" w:tplc="63428CEF">
      <w:start w:val="1"/>
      <w:numFmt w:val="decimal"/>
      <w:lvlText w:val="%4."/>
      <w:lvlJc w:val="left"/>
      <w:pPr>
        <w:ind w:left="2880" w:hanging="360"/>
      </w:pPr>
    </w:lvl>
    <w:lvl w:ilvl="4" w:tplc="0D4A73AC">
      <w:start w:val="1"/>
      <w:numFmt w:val="decimal"/>
      <w:lvlText w:val="%5."/>
      <w:lvlJc w:val="left"/>
      <w:pPr>
        <w:ind w:left="3600" w:hanging="360"/>
      </w:pPr>
    </w:lvl>
    <w:lvl w:ilvl="5" w:tplc="7D92C035">
      <w:start w:val="1"/>
      <w:numFmt w:val="decimal"/>
      <w:lvlText w:val="%6."/>
      <w:lvlJc w:val="left"/>
      <w:pPr>
        <w:ind w:left="4320" w:hanging="360"/>
      </w:pPr>
    </w:lvl>
    <w:lvl w:ilvl="6" w:tplc="239D1102">
      <w:start w:val="1"/>
      <w:numFmt w:val="decimal"/>
      <w:lvlText w:val="%7."/>
      <w:lvlJc w:val="left"/>
      <w:pPr>
        <w:ind w:left="5040" w:hanging="360"/>
      </w:pPr>
    </w:lvl>
    <w:lvl w:ilvl="7" w:tplc="3E259564">
      <w:start w:val="1"/>
      <w:numFmt w:val="decimal"/>
      <w:lvlText w:val="%8."/>
      <w:lvlJc w:val="left"/>
      <w:pPr>
        <w:ind w:left="5760" w:hanging="360"/>
      </w:pPr>
    </w:lvl>
    <w:lvl w:ilvl="8" w:tplc="5F208B43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C40"/>
    <w:rsid w:val="00340C08"/>
    <w:rsid w:val="00B7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3709</Words>
  <Characters>21144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Лисицына Лариса Алексеевна</dc:creator>
  <cp:lastModifiedBy>Лисицина Лариса Алексеевна</cp:lastModifiedBy>
  <cp:revision>2</cp:revision>
  <dcterms:created xsi:type="dcterms:W3CDTF">2023-10-02T12:43:00Z</dcterms:created>
  <dcterms:modified xsi:type="dcterms:W3CDTF">2023-10-02T12:43:00Z</dcterms:modified>
</cp:coreProperties>
</file>